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8B14E" w14:textId="77777777" w:rsidR="00C81291" w:rsidRPr="00323CCE" w:rsidRDefault="00C81291" w:rsidP="00323CCE">
      <w:pPr>
        <w:pStyle w:val="ConsPlusTitle"/>
        <w:spacing w:line="360" w:lineRule="auto"/>
        <w:ind w:firstLine="540"/>
        <w:jc w:val="both"/>
        <w:outlineLvl w:val="2"/>
        <w:rPr>
          <w:rFonts w:ascii="Times New Roman" w:hAnsi="Times New Roman" w:cs="Times New Roman"/>
          <w:sz w:val="28"/>
          <w:szCs w:val="24"/>
        </w:rPr>
      </w:pPr>
      <w:r w:rsidRPr="00323CCE">
        <w:rPr>
          <w:rFonts w:ascii="Times New Roman" w:hAnsi="Times New Roman" w:cs="Times New Roman"/>
          <w:sz w:val="28"/>
          <w:szCs w:val="24"/>
        </w:rPr>
        <w:t>17. Планируемые результаты освоения ФОП ООО.</w:t>
      </w:r>
    </w:p>
    <w:p w14:paraId="7CF6E57C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17.1. 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</w:t>
      </w:r>
    </w:p>
    <w:p w14:paraId="26CEB252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17.2.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629BB965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B244E15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0AD42ECF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17.3. Метапредметные результаты включают:</w:t>
      </w:r>
    </w:p>
    <w:p w14:paraId="09147100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 xml:space="preserve">освоение обучающимися межпредметных понятий (используются в </w:t>
      </w:r>
      <w:r w:rsidRPr="00323CCE">
        <w:rPr>
          <w:sz w:val="28"/>
          <w:szCs w:val="24"/>
        </w:rPr>
        <w:lastRenderedPageBreak/>
        <w:t>нескольких предметных областях и позволяют связывать знания из различных 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703FD082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способность их использовать в учебной, познавательной и социальной практике;</w:t>
      </w:r>
    </w:p>
    <w:p w14:paraId="5B2EFE51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34DF4344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7424595F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17.4. 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31859144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познавательными универсальными учебными действиями;</w:t>
      </w:r>
    </w:p>
    <w:p w14:paraId="6C22AC00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коммуникативными универсальными учебными действиями;</w:t>
      </w:r>
    </w:p>
    <w:p w14:paraId="092D7516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регулятивными универсальными учебными действиями.</w:t>
      </w:r>
    </w:p>
    <w:p w14:paraId="2FF194DA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17.4.1. 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61E82A16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17.4.2. 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22A3855B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17.4.3. 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763FB518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17.5. Предметные результаты включают:</w:t>
      </w:r>
    </w:p>
    <w:p w14:paraId="05134D0A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 xml:space="preserve">освоение обучающимися в ходе изучения учебного предмета научных </w:t>
      </w:r>
      <w:r w:rsidRPr="00323CCE">
        <w:rPr>
          <w:sz w:val="28"/>
          <w:szCs w:val="24"/>
        </w:rPr>
        <w:lastRenderedPageBreak/>
        <w:t>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07F1AB9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37311DD9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Требования к предметным результатам:</w:t>
      </w:r>
    </w:p>
    <w:p w14:paraId="7252E439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сформулированы в деятельностной форме с усилением акцента на применение знаний и конкретные умения;</w:t>
      </w:r>
    </w:p>
    <w:p w14:paraId="710A491A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32A367F4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41D7B8B5" w14:textId="77777777" w:rsidR="00C81291" w:rsidRPr="00323CCE" w:rsidRDefault="00C81291" w:rsidP="00323CCE">
      <w:pPr>
        <w:pStyle w:val="ConsPlusNormal"/>
        <w:spacing w:line="360" w:lineRule="auto"/>
        <w:ind w:firstLine="540"/>
        <w:jc w:val="both"/>
        <w:rPr>
          <w:sz w:val="28"/>
          <w:szCs w:val="24"/>
        </w:rPr>
      </w:pPr>
      <w:r w:rsidRPr="00323CCE">
        <w:rPr>
          <w:sz w:val="28"/>
          <w:szCs w:val="24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0BD5D305" w14:textId="77777777" w:rsidR="007B0BE3" w:rsidRPr="00323CCE" w:rsidRDefault="007B0BE3" w:rsidP="00323CC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7B0BE3" w:rsidRPr="00323C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291"/>
    <w:rsid w:val="00034DBD"/>
    <w:rsid w:val="00323CCE"/>
    <w:rsid w:val="007B0BE3"/>
    <w:rsid w:val="007F23F0"/>
    <w:rsid w:val="00C81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27A7F"/>
  <w15:chartTrackingRefBased/>
  <w15:docId w15:val="{CAABD6C3-D235-4D10-A589-C59DFFF31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81291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paragraph" w:customStyle="1" w:styleId="ConsPlusTitle">
    <w:name w:val="ConsPlusTitle"/>
    <w:rsid w:val="00C8129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3697</Characters>
  <Application>Microsoft Office Word</Application>
  <DocSecurity>0</DocSecurity>
  <Lines>30</Lines>
  <Paragraphs>8</Paragraphs>
  <ScaleCrop>false</ScaleCrop>
  <Company/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Котенева</dc:creator>
  <cp:keywords/>
  <dc:description/>
  <cp:lastModifiedBy>Котенева</cp:lastModifiedBy>
  <cp:revision>2</cp:revision>
  <dcterms:created xsi:type="dcterms:W3CDTF">2025-05-21T09:15:00Z</dcterms:created>
  <dcterms:modified xsi:type="dcterms:W3CDTF">2025-05-21T09:16:00Z</dcterms:modified>
</cp:coreProperties>
</file>